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070D" w:rsidP="50F3357F" w:rsidRDefault="528EDCF7" w14:paraId="7B5CAEB5" w14:textId="44C4D561">
      <w:pPr>
        <w:pStyle w:val="Titel"/>
      </w:pPr>
      <w:r w:rsidR="51629C3C">
        <w:rPr/>
        <w:t>S</w:t>
      </w:r>
      <w:r w:rsidR="528EDCF7">
        <w:rPr/>
        <w:t xml:space="preserve">tandpunt </w:t>
      </w:r>
      <w:r w:rsidR="528EDCF7">
        <w:rPr/>
        <w:t>ivm</w:t>
      </w:r>
      <w:r w:rsidR="528EDCF7">
        <w:rPr/>
        <w:t xml:space="preserve"> advies Hoge Gezondheidsraad vaccinatie pneumokokken 2020</w:t>
      </w:r>
    </w:p>
    <w:p w:rsidR="528EDCF7" w:rsidP="50F3357F" w:rsidRDefault="528EDCF7" w14:paraId="786D60F1" w14:textId="30C4477C">
      <w:pPr>
        <w:pStyle w:val="Kop1"/>
      </w:pPr>
      <w:r>
        <w:t>Uitgangspunt</w:t>
      </w:r>
    </w:p>
    <w:p w:rsidR="528EDCF7" w:rsidP="50F3357F" w:rsidRDefault="528EDCF7" w14:paraId="0B61D1BF" w14:textId="4EF8E550">
      <w:r>
        <w:t xml:space="preserve">Het nut van vaccinaties moet beoordeeld worden vanuit een preventief denkkader. </w:t>
      </w:r>
    </w:p>
    <w:p w:rsidR="528EDCF7" w:rsidP="50F3357F" w:rsidRDefault="528EDCF7" w14:paraId="794B1B9B" w14:textId="443CEE82">
      <w:r>
        <w:t xml:space="preserve">Binnen het Kennisdomein Preventie en Gezondheidsbevordering hanteren we daarom het criterium dat we enkel die preventieve activiteiten aanraden waarvan het nut bewezen is </w:t>
      </w:r>
      <w:r w:rsidR="7DF87A33">
        <w:t>met de sterkste wetenschappelijke onderbouwing, meer specifiek door CEBAM gevalideerde richtlijnen.</w:t>
      </w:r>
    </w:p>
    <w:p w:rsidR="4D2B06FC" w:rsidP="50F3357F" w:rsidRDefault="4D2B06FC" w14:paraId="35A4285C" w14:textId="2D6F5E46">
      <w:pPr>
        <w:pStyle w:val="Kop1"/>
      </w:pPr>
      <w:r>
        <w:t>Beoordeling van de wetenschappelijke onderbouwing</w:t>
      </w:r>
    </w:p>
    <w:p w:rsidR="009F2959" w:rsidP="50F3357F" w:rsidRDefault="009F2959" w14:paraId="69317496" w14:textId="723F78C9">
      <w:r>
        <w:t xml:space="preserve">CEBAM beoordeelt richtlijnen aan de hand van de AGREE-criteria. </w:t>
      </w:r>
    </w:p>
    <w:p w:rsidR="4D2B06FC" w:rsidP="50F3357F" w:rsidRDefault="4D2B06FC" w14:paraId="6FABAFEA" w14:textId="55230319">
      <w:r>
        <w:t xml:space="preserve">De Hoge Gezondheidsraad heeft dit advies niet ingediend bij CEBAM. </w:t>
      </w:r>
    </w:p>
    <w:p w:rsidR="4D2B06FC" w:rsidP="50F3357F" w:rsidRDefault="4D2B06FC" w14:paraId="6B5DDB58" w14:textId="69B04A55">
      <w:r>
        <w:t xml:space="preserve">Maar op basis van de openbaar beschikbare documenten kunnen we wel een aantal </w:t>
      </w:r>
      <w:r w:rsidR="22EEA37A">
        <w:t xml:space="preserve">AGREE criteria beoordelen. </w:t>
      </w:r>
    </w:p>
    <w:p w:rsidR="22EEA37A" w:rsidP="50F3357F" w:rsidRDefault="22EEA37A" w14:paraId="5E835142" w14:textId="31E57706">
      <w:r>
        <w:t xml:space="preserve">En daarbij stellen we vooral vast dat we onvoldoende informatie krijgen om te beoordelen hoe </w:t>
      </w:r>
      <w:r w:rsidR="58E46E96">
        <w:t xml:space="preserve">grondig zij te werk zijn gegaan bij het opstellen van hun advies. </w:t>
      </w:r>
    </w:p>
    <w:p w:rsidR="58E46E96" w:rsidP="50F3357F" w:rsidRDefault="58E46E96" w14:paraId="7F651A43" w14:textId="2557ABA9">
      <w:r>
        <w:t>Enkele concrete voorbeelden:</w:t>
      </w:r>
    </w:p>
    <w:p w:rsidR="1FDCA85E" w:rsidP="50F3357F" w:rsidRDefault="1FDCA85E" w14:paraId="5B32867A" w14:textId="60B07DFD">
      <w:pPr>
        <w:pStyle w:val="Lijstalinea"/>
        <w:numPr>
          <w:ilvl w:val="0"/>
          <w:numId w:val="1"/>
        </w:numPr>
        <w:rPr>
          <w:rFonts w:eastAsiaTheme="minorEastAsia"/>
        </w:rPr>
      </w:pPr>
      <w:r w:rsidRPr="50F3357F">
        <w:rPr>
          <w:rFonts w:ascii="Calibri" w:hAnsi="Calibri" w:eastAsia="Calibri" w:cs="Calibri"/>
        </w:rPr>
        <w:t xml:space="preserve">De manier waarop naar artikels werd gezocht is niet beschreven, er kan dus niet nagegaan worden of dit al dan niet systematisch gebeurde. </w:t>
      </w:r>
    </w:p>
    <w:p w:rsidR="1FDCA85E" w:rsidP="50F3357F" w:rsidRDefault="1FDCA85E" w14:paraId="62A1A49F" w14:textId="5E4BC063">
      <w:pPr>
        <w:pStyle w:val="Lijstalinea"/>
        <w:numPr>
          <w:ilvl w:val="0"/>
          <w:numId w:val="1"/>
        </w:numPr>
        <w:rPr>
          <w:rFonts w:eastAsiaTheme="minorEastAsia"/>
        </w:rPr>
      </w:pPr>
      <w:r w:rsidRPr="50F3357F">
        <w:rPr>
          <w:rFonts w:ascii="Calibri" w:hAnsi="Calibri" w:eastAsia="Calibri" w:cs="Calibri"/>
        </w:rPr>
        <w:t xml:space="preserve">Er is niets geweten over de criteria voor het al dan niet weerhouden van artikels. </w:t>
      </w:r>
      <w:r w:rsidRPr="50F3357F" w:rsidR="722DC089">
        <w:rPr>
          <w:rFonts w:ascii="Calibri" w:hAnsi="Calibri" w:eastAsia="Calibri" w:cs="Calibri"/>
        </w:rPr>
        <w:t>En geen spoor dat de weerhouden artikels beoordeeld werden op sterkten en zwakten</w:t>
      </w:r>
      <w:r w:rsidRPr="50F3357F" w:rsidR="7765BD07">
        <w:rPr>
          <w:rFonts w:ascii="Calibri" w:hAnsi="Calibri" w:eastAsia="Calibri" w:cs="Calibri"/>
        </w:rPr>
        <w:t>.</w:t>
      </w:r>
    </w:p>
    <w:p w:rsidR="49683C8F" w:rsidP="50F3357F" w:rsidRDefault="49683C8F" w14:paraId="17889A5B" w14:textId="18CB262A">
      <w:pPr>
        <w:pStyle w:val="Lijstalinea"/>
        <w:numPr>
          <w:ilvl w:val="0"/>
          <w:numId w:val="1"/>
        </w:numPr>
      </w:pPr>
      <w:r>
        <w:t>Er</w:t>
      </w:r>
      <w:r w:rsidR="22EEA37A">
        <w:t xml:space="preserve"> </w:t>
      </w:r>
      <w:r>
        <w:t xml:space="preserve">is dan ook geen verklaring voor het ontbreken van de </w:t>
      </w:r>
      <w:proofErr w:type="spellStart"/>
      <w:r w:rsidR="16504BB9">
        <w:t>Cochrane</w:t>
      </w:r>
      <w:proofErr w:type="spellEnd"/>
      <w:r w:rsidR="16504BB9">
        <w:t xml:space="preserve"> Review van Julia Walters</w:t>
      </w:r>
      <w:r w:rsidRPr="50F3357F">
        <w:rPr>
          <w:rStyle w:val="Voetnootmarkering"/>
        </w:rPr>
        <w:footnoteReference w:id="1"/>
      </w:r>
      <w:r>
        <w:t xml:space="preserve"> </w:t>
      </w:r>
      <w:r w:rsidR="01E4B6F1">
        <w:t>en dat ofschoon die expliciet keek naar het effect van vaccinatie op het aantal ziekenhuisopnames</w:t>
      </w:r>
      <w:r w:rsidR="1C813251">
        <w:t xml:space="preserve"> bij COPD</w:t>
      </w:r>
      <w:r w:rsidR="060CA4D7">
        <w:t xml:space="preserve"> patiënten</w:t>
      </w:r>
      <w:r w:rsidR="01E4B6F1">
        <w:t xml:space="preserve">: </w:t>
      </w:r>
      <w:r w:rsidRPr="50F3357F" w:rsidR="413DB425">
        <w:rPr>
          <w:rFonts w:ascii="Source Sans Pro" w:hAnsi="Source Sans Pro" w:eastAsia="Source Sans Pro" w:cs="Source Sans Pro"/>
          <w:i/>
          <w:iCs/>
          <w:sz w:val="24"/>
          <w:szCs w:val="24"/>
        </w:rPr>
        <w:t xml:space="preserve">The </w:t>
      </w:r>
      <w:proofErr w:type="spellStart"/>
      <w:r w:rsidRPr="50F3357F" w:rsidR="413DB425">
        <w:rPr>
          <w:rFonts w:ascii="Source Sans Pro" w:hAnsi="Source Sans Pro" w:eastAsia="Source Sans Pro" w:cs="Source Sans Pro"/>
          <w:i/>
          <w:iCs/>
          <w:sz w:val="24"/>
          <w:szCs w:val="24"/>
        </w:rPr>
        <w:t>likelihood</w:t>
      </w:r>
      <w:proofErr w:type="spellEnd"/>
      <w:r w:rsidRPr="50F3357F" w:rsidR="413DB425">
        <w:rPr>
          <w:rFonts w:ascii="Source Sans Pro" w:hAnsi="Source Sans Pro" w:eastAsia="Source Sans Pro" w:cs="Source Sans Pro"/>
          <w:i/>
          <w:iCs/>
          <w:sz w:val="24"/>
          <w:szCs w:val="24"/>
        </w:rPr>
        <w:t xml:space="preserve"> of </w:t>
      </w:r>
      <w:proofErr w:type="spellStart"/>
      <w:r w:rsidRPr="50F3357F" w:rsidR="413DB425">
        <w:rPr>
          <w:rFonts w:ascii="Source Sans Pro" w:hAnsi="Source Sans Pro" w:eastAsia="Source Sans Pro" w:cs="Source Sans Pro"/>
          <w:i/>
          <w:iCs/>
          <w:sz w:val="24"/>
          <w:szCs w:val="24"/>
        </w:rPr>
        <w:t>hospital</w:t>
      </w:r>
      <w:proofErr w:type="spellEnd"/>
      <w:r w:rsidRPr="50F3357F" w:rsidR="413DB425">
        <w:rPr>
          <w:rFonts w:ascii="Source Sans Pro" w:hAnsi="Source Sans Pro" w:eastAsia="Source Sans Pro" w:cs="Source Sans Pro"/>
          <w:i/>
          <w:iCs/>
          <w:sz w:val="24"/>
          <w:szCs w:val="24"/>
        </w:rPr>
        <w:t xml:space="preserve"> </w:t>
      </w:r>
      <w:proofErr w:type="spellStart"/>
      <w:r w:rsidRPr="50F3357F" w:rsidR="413DB425">
        <w:rPr>
          <w:rFonts w:ascii="Source Sans Pro" w:hAnsi="Source Sans Pro" w:eastAsia="Source Sans Pro" w:cs="Source Sans Pro"/>
          <w:i/>
          <w:iCs/>
          <w:sz w:val="24"/>
          <w:szCs w:val="24"/>
        </w:rPr>
        <w:t>admission</w:t>
      </w:r>
      <w:proofErr w:type="spellEnd"/>
      <w:r w:rsidRPr="50F3357F" w:rsidR="413DB425">
        <w:rPr>
          <w:rFonts w:ascii="Source Sans Pro" w:hAnsi="Source Sans Pro" w:eastAsia="Source Sans Pro" w:cs="Source Sans Pro"/>
          <w:i/>
          <w:iCs/>
          <w:sz w:val="24"/>
          <w:szCs w:val="24"/>
        </w:rPr>
        <w:t xml:space="preserve"> </w:t>
      </w:r>
      <w:proofErr w:type="spellStart"/>
      <w:r w:rsidRPr="50F3357F" w:rsidR="413DB425">
        <w:rPr>
          <w:rFonts w:ascii="Source Sans Pro" w:hAnsi="Source Sans Pro" w:eastAsia="Source Sans Pro" w:cs="Source Sans Pro"/>
          <w:i/>
          <w:iCs/>
          <w:sz w:val="24"/>
          <w:szCs w:val="24"/>
        </w:rPr>
        <w:t>for</w:t>
      </w:r>
      <w:proofErr w:type="spellEnd"/>
      <w:r w:rsidRPr="50F3357F" w:rsidR="413DB425">
        <w:rPr>
          <w:rFonts w:ascii="Source Sans Pro" w:hAnsi="Source Sans Pro" w:eastAsia="Source Sans Pro" w:cs="Source Sans Pro"/>
          <w:i/>
          <w:iCs/>
          <w:sz w:val="24"/>
          <w:szCs w:val="24"/>
        </w:rPr>
        <w:t xml:space="preserve"> </w:t>
      </w:r>
      <w:proofErr w:type="spellStart"/>
      <w:r w:rsidRPr="50F3357F" w:rsidR="413DB425">
        <w:rPr>
          <w:rFonts w:ascii="Source Sans Pro" w:hAnsi="Source Sans Pro" w:eastAsia="Source Sans Pro" w:cs="Source Sans Pro"/>
          <w:i/>
          <w:iCs/>
          <w:sz w:val="24"/>
          <w:szCs w:val="24"/>
        </w:rPr>
        <w:t>any</w:t>
      </w:r>
      <w:proofErr w:type="spellEnd"/>
      <w:r w:rsidRPr="50F3357F" w:rsidR="413DB425">
        <w:rPr>
          <w:rFonts w:ascii="Source Sans Pro" w:hAnsi="Source Sans Pro" w:eastAsia="Source Sans Pro" w:cs="Source Sans Pro"/>
          <w:i/>
          <w:iCs/>
          <w:sz w:val="24"/>
          <w:szCs w:val="24"/>
        </w:rPr>
        <w:t xml:space="preserve"> </w:t>
      </w:r>
      <w:proofErr w:type="spellStart"/>
      <w:r w:rsidRPr="50F3357F" w:rsidR="413DB425">
        <w:rPr>
          <w:rFonts w:ascii="Source Sans Pro" w:hAnsi="Source Sans Pro" w:eastAsia="Source Sans Pro" w:cs="Source Sans Pro"/>
          <w:i/>
          <w:iCs/>
          <w:sz w:val="24"/>
          <w:szCs w:val="24"/>
        </w:rPr>
        <w:t>cause</w:t>
      </w:r>
      <w:proofErr w:type="spellEnd"/>
      <w:r w:rsidRPr="50F3357F" w:rsidR="413DB425">
        <w:rPr>
          <w:rFonts w:ascii="Source Sans Pro" w:hAnsi="Source Sans Pro" w:eastAsia="Source Sans Pro" w:cs="Source Sans Pro"/>
          <w:i/>
          <w:iCs/>
          <w:sz w:val="24"/>
          <w:szCs w:val="24"/>
        </w:rPr>
        <w:t xml:space="preserve">, or </w:t>
      </w:r>
      <w:proofErr w:type="spellStart"/>
      <w:r w:rsidRPr="50F3357F" w:rsidR="413DB425">
        <w:rPr>
          <w:rFonts w:ascii="Source Sans Pro" w:hAnsi="Source Sans Pro" w:eastAsia="Source Sans Pro" w:cs="Source Sans Pro"/>
          <w:i/>
          <w:iCs/>
          <w:sz w:val="24"/>
          <w:szCs w:val="24"/>
        </w:rPr>
        <w:t>for</w:t>
      </w:r>
      <w:proofErr w:type="spellEnd"/>
      <w:r w:rsidRPr="50F3357F" w:rsidR="413DB425">
        <w:rPr>
          <w:rFonts w:ascii="Source Sans Pro" w:hAnsi="Source Sans Pro" w:eastAsia="Source Sans Pro" w:cs="Source Sans Pro"/>
          <w:i/>
          <w:iCs/>
          <w:sz w:val="24"/>
          <w:szCs w:val="24"/>
        </w:rPr>
        <w:t xml:space="preserve"> </w:t>
      </w:r>
      <w:proofErr w:type="spellStart"/>
      <w:r w:rsidRPr="50F3357F" w:rsidR="413DB425">
        <w:rPr>
          <w:rFonts w:ascii="Source Sans Pro" w:hAnsi="Source Sans Pro" w:eastAsia="Source Sans Pro" w:cs="Source Sans Pro"/>
          <w:i/>
          <w:iCs/>
          <w:sz w:val="24"/>
          <w:szCs w:val="24"/>
        </w:rPr>
        <w:t>cardiorespiratory</w:t>
      </w:r>
      <w:proofErr w:type="spellEnd"/>
      <w:r w:rsidRPr="50F3357F" w:rsidR="413DB425">
        <w:rPr>
          <w:rFonts w:ascii="Source Sans Pro" w:hAnsi="Source Sans Pro" w:eastAsia="Source Sans Pro" w:cs="Source Sans Pro"/>
          <w:i/>
          <w:iCs/>
          <w:sz w:val="24"/>
          <w:szCs w:val="24"/>
        </w:rPr>
        <w:t xml:space="preserve"> </w:t>
      </w:r>
      <w:proofErr w:type="spellStart"/>
      <w:r w:rsidRPr="50F3357F" w:rsidR="413DB425">
        <w:rPr>
          <w:rFonts w:ascii="Source Sans Pro" w:hAnsi="Source Sans Pro" w:eastAsia="Source Sans Pro" w:cs="Source Sans Pro"/>
          <w:i/>
          <w:iCs/>
          <w:sz w:val="24"/>
          <w:szCs w:val="24"/>
        </w:rPr>
        <w:t>causes</w:t>
      </w:r>
      <w:proofErr w:type="spellEnd"/>
      <w:r w:rsidRPr="50F3357F" w:rsidR="413DB425">
        <w:rPr>
          <w:rFonts w:ascii="Source Sans Pro" w:hAnsi="Source Sans Pro" w:eastAsia="Source Sans Pro" w:cs="Source Sans Pro"/>
          <w:i/>
          <w:iCs/>
          <w:sz w:val="24"/>
          <w:szCs w:val="24"/>
        </w:rPr>
        <w:t xml:space="preserve">, </w:t>
      </w:r>
      <w:proofErr w:type="spellStart"/>
      <w:r w:rsidRPr="50F3357F" w:rsidR="413DB425">
        <w:rPr>
          <w:rFonts w:ascii="Source Sans Pro" w:hAnsi="Source Sans Pro" w:eastAsia="Source Sans Pro" w:cs="Source Sans Pro"/>
          <w:i/>
          <w:iCs/>
          <w:sz w:val="24"/>
          <w:szCs w:val="24"/>
        </w:rPr>
        <w:t>did</w:t>
      </w:r>
      <w:proofErr w:type="spellEnd"/>
      <w:r w:rsidRPr="50F3357F" w:rsidR="413DB425">
        <w:rPr>
          <w:rFonts w:ascii="Source Sans Pro" w:hAnsi="Source Sans Pro" w:eastAsia="Source Sans Pro" w:cs="Source Sans Pro"/>
          <w:i/>
          <w:iCs/>
          <w:sz w:val="24"/>
          <w:szCs w:val="24"/>
        </w:rPr>
        <w:t xml:space="preserve"> </w:t>
      </w:r>
      <w:proofErr w:type="spellStart"/>
      <w:r w:rsidRPr="50F3357F" w:rsidR="413DB425">
        <w:rPr>
          <w:rFonts w:ascii="Source Sans Pro" w:hAnsi="Source Sans Pro" w:eastAsia="Source Sans Pro" w:cs="Source Sans Pro"/>
          <w:i/>
          <w:iCs/>
          <w:sz w:val="24"/>
          <w:szCs w:val="24"/>
        </w:rPr>
        <w:t>not</w:t>
      </w:r>
      <w:proofErr w:type="spellEnd"/>
      <w:r w:rsidRPr="50F3357F" w:rsidR="413DB425">
        <w:rPr>
          <w:rFonts w:ascii="Source Sans Pro" w:hAnsi="Source Sans Pro" w:eastAsia="Source Sans Pro" w:cs="Source Sans Pro"/>
          <w:i/>
          <w:iCs/>
          <w:sz w:val="24"/>
          <w:szCs w:val="24"/>
        </w:rPr>
        <w:t xml:space="preserve"> </w:t>
      </w:r>
      <w:proofErr w:type="spellStart"/>
      <w:r w:rsidRPr="50F3357F" w:rsidR="413DB425">
        <w:rPr>
          <w:rFonts w:ascii="Source Sans Pro" w:hAnsi="Source Sans Pro" w:eastAsia="Source Sans Pro" w:cs="Source Sans Pro"/>
          <w:i/>
          <w:iCs/>
          <w:sz w:val="24"/>
          <w:szCs w:val="24"/>
        </w:rPr>
        <w:t>differ</w:t>
      </w:r>
      <w:proofErr w:type="spellEnd"/>
      <w:r w:rsidRPr="50F3357F" w:rsidR="413DB425">
        <w:rPr>
          <w:rFonts w:ascii="Source Sans Pro" w:hAnsi="Source Sans Pro" w:eastAsia="Source Sans Pro" w:cs="Source Sans Pro"/>
          <w:i/>
          <w:iCs/>
          <w:sz w:val="24"/>
          <w:szCs w:val="24"/>
        </w:rPr>
        <w:t xml:space="preserve"> </w:t>
      </w:r>
      <w:proofErr w:type="spellStart"/>
      <w:r w:rsidRPr="50F3357F" w:rsidR="413DB425">
        <w:rPr>
          <w:rFonts w:ascii="Source Sans Pro" w:hAnsi="Source Sans Pro" w:eastAsia="Source Sans Pro" w:cs="Source Sans Pro"/>
          <w:i/>
          <w:iCs/>
          <w:sz w:val="24"/>
          <w:szCs w:val="24"/>
        </w:rPr>
        <w:t>between</w:t>
      </w:r>
      <w:proofErr w:type="spellEnd"/>
      <w:r w:rsidRPr="50F3357F" w:rsidR="413DB425">
        <w:rPr>
          <w:rFonts w:ascii="Source Sans Pro" w:hAnsi="Source Sans Pro" w:eastAsia="Source Sans Pro" w:cs="Source Sans Pro"/>
          <w:i/>
          <w:iCs/>
          <w:sz w:val="24"/>
          <w:szCs w:val="24"/>
        </w:rPr>
        <w:t xml:space="preserve"> vaccine </w:t>
      </w:r>
      <w:proofErr w:type="spellStart"/>
      <w:r w:rsidRPr="50F3357F" w:rsidR="413DB425">
        <w:rPr>
          <w:rFonts w:ascii="Source Sans Pro" w:hAnsi="Source Sans Pro" w:eastAsia="Source Sans Pro" w:cs="Source Sans Pro"/>
          <w:i/>
          <w:iCs/>
          <w:sz w:val="24"/>
          <w:szCs w:val="24"/>
        </w:rPr>
        <w:t>and</w:t>
      </w:r>
      <w:proofErr w:type="spellEnd"/>
      <w:r w:rsidRPr="50F3357F" w:rsidR="413DB425">
        <w:rPr>
          <w:rFonts w:ascii="Source Sans Pro" w:hAnsi="Source Sans Pro" w:eastAsia="Source Sans Pro" w:cs="Source Sans Pro"/>
          <w:i/>
          <w:iCs/>
          <w:sz w:val="24"/>
          <w:szCs w:val="24"/>
        </w:rPr>
        <w:t xml:space="preserve"> control groups</w:t>
      </w:r>
      <w:r w:rsidRPr="50F3357F" w:rsidR="413DB425">
        <w:rPr>
          <w:rFonts w:ascii="Source Sans Pro" w:hAnsi="Source Sans Pro" w:eastAsia="Source Sans Pro" w:cs="Source Sans Pro"/>
          <w:sz w:val="24"/>
          <w:szCs w:val="24"/>
        </w:rPr>
        <w:t>.</w:t>
      </w:r>
      <w:r w:rsidRPr="50F3357F" w:rsidR="413DB425">
        <w:rPr>
          <w:rFonts w:ascii="Source Sans Pro" w:hAnsi="Source Sans Pro" w:eastAsia="Source Sans Pro" w:cs="Source Sans Pro"/>
          <w:sz w:val="24"/>
          <w:szCs w:val="24"/>
          <w:vertAlign w:val="superscript"/>
        </w:rPr>
        <w:t>1</w:t>
      </w:r>
    </w:p>
    <w:p w:rsidR="7ACDC6E1" w:rsidP="50F3357F" w:rsidRDefault="7ACDC6E1" w14:paraId="73707247" w14:textId="5A86E366">
      <w:pPr>
        <w:pStyle w:val="Lijstalinea"/>
        <w:numPr>
          <w:ilvl w:val="0"/>
          <w:numId w:val="1"/>
        </w:numPr>
        <w:rPr>
          <w:rFonts w:eastAsiaTheme="minorEastAsia"/>
          <w:b/>
          <w:bCs/>
          <w:i/>
          <w:iCs/>
        </w:rPr>
      </w:pPr>
      <w:r>
        <w:t xml:space="preserve">Er is geen duidelijkheid over de manier waarop de weerhouden artikels leidden tot de geformuleerde aanbevelingen. </w:t>
      </w:r>
      <w:r w:rsidR="7D3B2593">
        <w:t xml:space="preserve">De wel weerhouden </w:t>
      </w:r>
      <w:proofErr w:type="spellStart"/>
      <w:r w:rsidR="7D3B2593">
        <w:t>Cochrane</w:t>
      </w:r>
      <w:proofErr w:type="spellEnd"/>
      <w:r w:rsidR="7D3B2593">
        <w:t xml:space="preserve"> review van </w:t>
      </w:r>
      <w:proofErr w:type="spellStart"/>
      <w:r w:rsidR="7D3B2593">
        <w:t>Moberley</w:t>
      </w:r>
      <w:proofErr w:type="spellEnd"/>
      <w:r w:rsidR="7D3B2593">
        <w:t xml:space="preserve"> </w:t>
      </w:r>
      <w:r w:rsidR="1619C0F1">
        <w:t xml:space="preserve">komt tot volgende </w:t>
      </w:r>
      <w:r w:rsidR="7AC9E1F4">
        <w:t xml:space="preserve"> conclusie</w:t>
      </w:r>
      <w:r w:rsidR="2CBEA617">
        <w:t xml:space="preserve">s </w:t>
      </w:r>
      <w:r w:rsidRPr="50F3357F" w:rsidR="2CBEA617">
        <w:rPr>
          <w:b/>
          <w:bCs/>
        </w:rPr>
        <w:t>(</w:t>
      </w:r>
      <w:proofErr w:type="spellStart"/>
      <w:r w:rsidRPr="50F3357F" w:rsidR="2CBEA617">
        <w:rPr>
          <w:b/>
          <w:bCs/>
        </w:rPr>
        <w:t>bold</w:t>
      </w:r>
      <w:proofErr w:type="spellEnd"/>
      <w:r w:rsidR="2CBEA617">
        <w:t xml:space="preserve"> </w:t>
      </w:r>
      <w:r w:rsidR="00210EF3">
        <w:t>is eigen toevoeging</w:t>
      </w:r>
      <w:r w:rsidR="2CBEA617">
        <w:t>)</w:t>
      </w:r>
      <w:r w:rsidRPr="50F3357F" w:rsidR="7AC9E1F4">
        <w:rPr>
          <w:b/>
          <w:bCs/>
        </w:rPr>
        <w:t>:</w:t>
      </w:r>
      <w:r w:rsidRPr="50F3357F" w:rsidR="7AC9E1F4">
        <w:rPr>
          <w:i/>
          <w:iCs/>
        </w:rPr>
        <w:t xml:space="preserve"> </w:t>
      </w:r>
    </w:p>
    <w:p w:rsidR="2DCA2259" w:rsidP="561A467E" w:rsidRDefault="2DCA2259" w14:paraId="1923BA56" w14:textId="2EB30646">
      <w:pPr>
        <w:pStyle w:val="Lijstalinea"/>
        <w:numPr>
          <w:ilvl w:val="1"/>
          <w:numId w:val="1"/>
        </w:numPr>
        <w:rPr>
          <w:b/>
          <w:bCs/>
          <w:i/>
          <w:iCs/>
        </w:rPr>
      </w:pPr>
      <w:proofErr w:type="spellStart"/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t>There</w:t>
      </w:r>
      <w:proofErr w:type="spellEnd"/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t xml:space="preserve"> was </w:t>
      </w:r>
      <w:proofErr w:type="spellStart"/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t>efficacy</w:t>
      </w:r>
      <w:proofErr w:type="spellEnd"/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t xml:space="preserve"> </w:t>
      </w:r>
      <w:proofErr w:type="spellStart"/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t>against</w:t>
      </w:r>
      <w:proofErr w:type="spellEnd"/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t xml:space="preserve"> </w:t>
      </w:r>
      <w:proofErr w:type="spellStart"/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t>all‐cause</w:t>
      </w:r>
      <w:proofErr w:type="spellEnd"/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t xml:space="preserve"> </w:t>
      </w:r>
      <w:proofErr w:type="spellStart"/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t>pneumonia</w:t>
      </w:r>
      <w:proofErr w:type="spellEnd"/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t xml:space="preserve"> in low‐</w:t>
      </w:r>
      <w:proofErr w:type="spellStart"/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t>income</w:t>
      </w:r>
      <w:proofErr w:type="spellEnd"/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t xml:space="preserve"> (OR 0.54, 95% CI 0.43 </w:t>
      </w:r>
      <w:proofErr w:type="spellStart"/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t>to</w:t>
      </w:r>
      <w:proofErr w:type="spellEnd"/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t xml:space="preserve"> 0.67, I2 </w:t>
      </w:r>
      <w:proofErr w:type="spellStart"/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t>statistic</w:t>
      </w:r>
      <w:proofErr w:type="spellEnd"/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t xml:space="preserve"> = 19%) but </w:t>
      </w:r>
      <w:proofErr w:type="spellStart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>not</w:t>
      </w:r>
      <w:proofErr w:type="spellEnd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 xml:space="preserve"> high‐</w:t>
      </w:r>
      <w:proofErr w:type="spellStart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>income</w:t>
      </w:r>
      <w:proofErr w:type="spellEnd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 xml:space="preserve"> </w:t>
      </w:r>
      <w:proofErr w:type="spellStart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>countries</w:t>
      </w:r>
      <w:proofErr w:type="spellEnd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 xml:space="preserve"> in </w:t>
      </w:r>
      <w:proofErr w:type="spellStart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>either</w:t>
      </w:r>
      <w:proofErr w:type="spellEnd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 xml:space="preserve"> </w:t>
      </w:r>
      <w:proofErr w:type="spellStart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>the</w:t>
      </w:r>
      <w:proofErr w:type="spellEnd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 xml:space="preserve"> </w:t>
      </w:r>
      <w:proofErr w:type="spellStart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>general</w:t>
      </w:r>
      <w:proofErr w:type="spellEnd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 xml:space="preserve"> </w:t>
      </w:r>
      <w:proofErr w:type="spellStart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>population</w:t>
      </w:r>
      <w:proofErr w:type="spellEnd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 xml:space="preserve"> (OR 0.71, 95% CI 0.45 </w:t>
      </w:r>
      <w:proofErr w:type="spellStart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>to</w:t>
      </w:r>
      <w:proofErr w:type="spellEnd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 xml:space="preserve"> 1.12, I2 </w:t>
      </w:r>
      <w:proofErr w:type="spellStart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>statistic</w:t>
      </w:r>
      <w:proofErr w:type="spellEnd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 xml:space="preserve"> = 93%) or in </w:t>
      </w:r>
      <w:proofErr w:type="spellStart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>adults</w:t>
      </w:r>
      <w:proofErr w:type="spellEnd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 xml:space="preserve"> </w:t>
      </w:r>
      <w:proofErr w:type="spellStart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>with</w:t>
      </w:r>
      <w:proofErr w:type="spellEnd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 xml:space="preserve"> </w:t>
      </w:r>
      <w:proofErr w:type="spellStart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>chronic</w:t>
      </w:r>
      <w:proofErr w:type="spellEnd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 xml:space="preserve"> </w:t>
      </w:r>
      <w:proofErr w:type="spellStart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>illness</w:t>
      </w:r>
      <w:proofErr w:type="spellEnd"/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t xml:space="preserve"> (OR 0.93, 95% CI 0.73 </w:t>
      </w:r>
      <w:proofErr w:type="spellStart"/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t>to</w:t>
      </w:r>
      <w:proofErr w:type="spellEnd"/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t xml:space="preserve"> 1.19, I2 </w:t>
      </w:r>
      <w:proofErr w:type="spellStart"/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t>statistic</w:t>
      </w:r>
      <w:proofErr w:type="spellEnd"/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t xml:space="preserve"> = 10%). PPV</w:t>
      </w:r>
      <w:r w:rsidRPr="561A467E" w:rsidR="42322DA0">
        <w:rPr>
          <w:rFonts w:ascii="Source Sans Pro" w:hAnsi="Source Sans Pro" w:eastAsia="Source Sans Pro" w:cs="Source Sans Pro"/>
          <w:i/>
          <w:iCs/>
          <w:sz w:val="24"/>
          <w:szCs w:val="24"/>
        </w:rPr>
        <w:t xml:space="preserve"> </w:t>
      </w:r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t xml:space="preserve">was </w:t>
      </w:r>
      <w:proofErr w:type="spellStart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>not</w:t>
      </w:r>
      <w:proofErr w:type="spellEnd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 xml:space="preserve"> </w:t>
      </w:r>
      <w:proofErr w:type="spellStart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>associated</w:t>
      </w:r>
      <w:proofErr w:type="spellEnd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 xml:space="preserve"> </w:t>
      </w:r>
      <w:proofErr w:type="spellStart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>with</w:t>
      </w:r>
      <w:proofErr w:type="spellEnd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 xml:space="preserve"> </w:t>
      </w:r>
      <w:proofErr w:type="spellStart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>substantial</w:t>
      </w:r>
      <w:proofErr w:type="spellEnd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 xml:space="preserve"> </w:t>
      </w:r>
      <w:proofErr w:type="spellStart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>reductions</w:t>
      </w:r>
      <w:proofErr w:type="spellEnd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 xml:space="preserve"> in </w:t>
      </w:r>
      <w:proofErr w:type="spellStart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>all‐cause</w:t>
      </w:r>
      <w:proofErr w:type="spellEnd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 xml:space="preserve"> </w:t>
      </w:r>
      <w:proofErr w:type="spellStart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>mortality</w:t>
      </w:r>
      <w:proofErr w:type="spellEnd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 xml:space="preserve"> </w:t>
      </w:r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t xml:space="preserve">(OR 0.90, 95% CI 0.74 </w:t>
      </w:r>
      <w:proofErr w:type="spellStart"/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t>to</w:t>
      </w:r>
      <w:proofErr w:type="spellEnd"/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t xml:space="preserve"> 1.09; random‐</w:t>
      </w:r>
      <w:proofErr w:type="spellStart"/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t>effects</w:t>
      </w:r>
      <w:proofErr w:type="spellEnd"/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t xml:space="preserve"> model, I2 </w:t>
      </w:r>
      <w:proofErr w:type="spellStart"/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t>statistic</w:t>
      </w:r>
      <w:proofErr w:type="spellEnd"/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t xml:space="preserve"> = 69%). </w:t>
      </w:r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lastRenderedPageBreak/>
        <w:t xml:space="preserve">Vaccine </w:t>
      </w:r>
      <w:proofErr w:type="spellStart"/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t>efficacy</w:t>
      </w:r>
      <w:proofErr w:type="spellEnd"/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t xml:space="preserve"> </w:t>
      </w:r>
      <w:proofErr w:type="spellStart"/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t>against</w:t>
      </w:r>
      <w:proofErr w:type="spellEnd"/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t xml:space="preserve"> </w:t>
      </w:r>
      <w:proofErr w:type="spellStart"/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t>primary</w:t>
      </w:r>
      <w:proofErr w:type="spellEnd"/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t xml:space="preserve"> </w:t>
      </w:r>
      <w:proofErr w:type="spellStart"/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t>outcomes</w:t>
      </w:r>
      <w:proofErr w:type="spellEnd"/>
      <w:r w:rsidRPr="561A467E">
        <w:rPr>
          <w:rFonts w:ascii="Source Sans Pro" w:hAnsi="Source Sans Pro" w:eastAsia="Source Sans Pro" w:cs="Source Sans Pro"/>
          <w:i/>
          <w:iCs/>
          <w:sz w:val="24"/>
          <w:szCs w:val="24"/>
        </w:rPr>
        <w:t xml:space="preserve"> </w:t>
      </w:r>
      <w:proofErr w:type="spellStart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>appeared</w:t>
      </w:r>
      <w:proofErr w:type="spellEnd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 xml:space="preserve"> </w:t>
      </w:r>
      <w:proofErr w:type="spellStart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>poorer</w:t>
      </w:r>
      <w:proofErr w:type="spellEnd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 xml:space="preserve"> in </w:t>
      </w:r>
      <w:proofErr w:type="spellStart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>adults</w:t>
      </w:r>
      <w:proofErr w:type="spellEnd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 xml:space="preserve"> </w:t>
      </w:r>
      <w:proofErr w:type="spellStart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>with</w:t>
      </w:r>
      <w:proofErr w:type="spellEnd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 xml:space="preserve"> </w:t>
      </w:r>
      <w:proofErr w:type="spellStart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>chronic</w:t>
      </w:r>
      <w:proofErr w:type="spellEnd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 xml:space="preserve"> </w:t>
      </w:r>
      <w:proofErr w:type="spellStart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>illness</w:t>
      </w:r>
      <w:proofErr w:type="spellEnd"/>
      <w:r w:rsidRPr="561A467E">
        <w:rPr>
          <w:rFonts w:ascii="Source Sans Pro" w:hAnsi="Source Sans Pro" w:eastAsia="Source Sans Pro" w:cs="Source Sans Pro"/>
          <w:b/>
          <w:bCs/>
          <w:i/>
          <w:iCs/>
          <w:sz w:val="24"/>
          <w:szCs w:val="24"/>
        </w:rPr>
        <w:t>.</w:t>
      </w:r>
    </w:p>
    <w:p w:rsidR="7AC9E1F4" w:rsidP="50F3357F" w:rsidRDefault="7AC9E1F4" w14:paraId="4F2EF9FB" w14:textId="056E9FD3">
      <w:pPr>
        <w:pStyle w:val="Lijstalinea"/>
        <w:numPr>
          <w:ilvl w:val="1"/>
          <w:numId w:val="1"/>
        </w:numPr>
        <w:rPr>
          <w:i/>
          <w:iCs/>
        </w:rPr>
      </w:pPr>
      <w:r w:rsidRPr="50F3357F">
        <w:rPr>
          <w:i/>
          <w:iCs/>
        </w:rPr>
        <w:t xml:space="preserve">The meta‐analysis </w:t>
      </w:r>
      <w:r w:rsidRPr="50F3357F">
        <w:rPr>
          <w:b/>
          <w:bCs/>
          <w:i/>
          <w:iCs/>
        </w:rPr>
        <w:t xml:space="preserve">does </w:t>
      </w:r>
      <w:proofErr w:type="spellStart"/>
      <w:r w:rsidRPr="50F3357F">
        <w:rPr>
          <w:b/>
          <w:bCs/>
          <w:i/>
          <w:iCs/>
        </w:rPr>
        <w:t>not</w:t>
      </w:r>
      <w:proofErr w:type="spellEnd"/>
      <w:r w:rsidRPr="50F3357F">
        <w:rPr>
          <w:b/>
          <w:bCs/>
          <w:i/>
          <w:iCs/>
        </w:rPr>
        <w:t xml:space="preserve"> </w:t>
      </w:r>
      <w:proofErr w:type="spellStart"/>
      <w:r w:rsidRPr="50F3357F">
        <w:rPr>
          <w:b/>
          <w:bCs/>
          <w:i/>
          <w:iCs/>
        </w:rPr>
        <w:t>provide</w:t>
      </w:r>
      <w:proofErr w:type="spellEnd"/>
      <w:r w:rsidRPr="50F3357F">
        <w:rPr>
          <w:b/>
          <w:bCs/>
          <w:i/>
          <w:iCs/>
        </w:rPr>
        <w:t xml:space="preserve"> </w:t>
      </w:r>
      <w:proofErr w:type="spellStart"/>
      <w:r w:rsidRPr="50F3357F">
        <w:rPr>
          <w:b/>
          <w:bCs/>
          <w:i/>
          <w:iCs/>
        </w:rPr>
        <w:t>evidence</w:t>
      </w:r>
      <w:proofErr w:type="spellEnd"/>
      <w:r w:rsidRPr="50F3357F">
        <w:rPr>
          <w:b/>
          <w:bCs/>
          <w:i/>
          <w:iCs/>
        </w:rPr>
        <w:t xml:space="preserve"> </w:t>
      </w:r>
      <w:proofErr w:type="spellStart"/>
      <w:r w:rsidRPr="50F3357F">
        <w:rPr>
          <w:b/>
          <w:bCs/>
          <w:i/>
          <w:iCs/>
        </w:rPr>
        <w:t>to</w:t>
      </w:r>
      <w:proofErr w:type="spellEnd"/>
      <w:r w:rsidRPr="50F3357F">
        <w:rPr>
          <w:b/>
          <w:bCs/>
          <w:i/>
          <w:iCs/>
        </w:rPr>
        <w:t xml:space="preserve"> support </w:t>
      </w:r>
      <w:proofErr w:type="spellStart"/>
      <w:r w:rsidRPr="50F3357F">
        <w:rPr>
          <w:b/>
          <w:bCs/>
          <w:i/>
          <w:iCs/>
        </w:rPr>
        <w:t>the</w:t>
      </w:r>
      <w:proofErr w:type="spellEnd"/>
      <w:r w:rsidRPr="50F3357F">
        <w:rPr>
          <w:b/>
          <w:bCs/>
          <w:i/>
          <w:iCs/>
        </w:rPr>
        <w:t xml:space="preserve"> routine </w:t>
      </w:r>
      <w:proofErr w:type="spellStart"/>
      <w:r w:rsidRPr="50F3357F">
        <w:rPr>
          <w:b/>
          <w:bCs/>
          <w:i/>
          <w:iCs/>
        </w:rPr>
        <w:t>use</w:t>
      </w:r>
      <w:proofErr w:type="spellEnd"/>
      <w:r w:rsidRPr="50F3357F">
        <w:rPr>
          <w:b/>
          <w:bCs/>
          <w:i/>
          <w:iCs/>
        </w:rPr>
        <w:t xml:space="preserve"> of PPV</w:t>
      </w:r>
      <w:r w:rsidRPr="50F3357F">
        <w:rPr>
          <w:i/>
          <w:iCs/>
        </w:rPr>
        <w:t xml:space="preserve"> </w:t>
      </w:r>
      <w:proofErr w:type="spellStart"/>
      <w:r w:rsidRPr="50F3357F">
        <w:rPr>
          <w:i/>
          <w:iCs/>
        </w:rPr>
        <w:t>to</w:t>
      </w:r>
      <w:proofErr w:type="spellEnd"/>
      <w:r w:rsidRPr="50F3357F">
        <w:rPr>
          <w:i/>
          <w:iCs/>
        </w:rPr>
        <w:t xml:space="preserve"> </w:t>
      </w:r>
      <w:proofErr w:type="spellStart"/>
      <w:r w:rsidRPr="50F3357F">
        <w:rPr>
          <w:i/>
          <w:iCs/>
        </w:rPr>
        <w:t>prevent</w:t>
      </w:r>
      <w:proofErr w:type="spellEnd"/>
      <w:r w:rsidRPr="50F3357F">
        <w:rPr>
          <w:i/>
          <w:iCs/>
        </w:rPr>
        <w:t xml:space="preserve"> </w:t>
      </w:r>
      <w:proofErr w:type="spellStart"/>
      <w:r w:rsidRPr="50F3357F">
        <w:rPr>
          <w:i/>
          <w:iCs/>
        </w:rPr>
        <w:t>all‐cause</w:t>
      </w:r>
      <w:proofErr w:type="spellEnd"/>
      <w:r w:rsidRPr="50F3357F">
        <w:rPr>
          <w:i/>
          <w:iCs/>
        </w:rPr>
        <w:t xml:space="preserve"> </w:t>
      </w:r>
      <w:proofErr w:type="spellStart"/>
      <w:r w:rsidRPr="50F3357F">
        <w:rPr>
          <w:i/>
          <w:iCs/>
        </w:rPr>
        <w:t>pneumonia</w:t>
      </w:r>
      <w:proofErr w:type="spellEnd"/>
      <w:r w:rsidRPr="50F3357F">
        <w:rPr>
          <w:i/>
          <w:iCs/>
        </w:rPr>
        <w:t xml:space="preserve"> or mortality.4</w:t>
      </w:r>
      <w:r w:rsidRPr="50F3357F" w:rsidR="7F21F6E5">
        <w:rPr>
          <w:i/>
          <w:iCs/>
        </w:rPr>
        <w:t xml:space="preserve"> . </w:t>
      </w:r>
    </w:p>
    <w:p w:rsidR="7F21F6E5" w:rsidP="50F3357F" w:rsidRDefault="7F21F6E5" w14:paraId="3C56BCE5" w14:textId="235780F6">
      <w:pPr>
        <w:pStyle w:val="Lijstalinea"/>
        <w:numPr>
          <w:ilvl w:val="1"/>
          <w:numId w:val="1"/>
        </w:numPr>
        <w:rPr>
          <w:i/>
          <w:iCs/>
        </w:rPr>
      </w:pPr>
      <w:r w:rsidRPr="50F3357F">
        <w:t>Toch wordt vaccinatie aanbevolen</w:t>
      </w:r>
      <w:r w:rsidRPr="50F3357F" w:rsidR="59372178">
        <w:t>? Daarvoor wordt er geen verklaring gegeven</w:t>
      </w:r>
    </w:p>
    <w:p w:rsidR="308C3FBB" w:rsidP="50F3357F" w:rsidRDefault="308C3FBB" w14:paraId="4A1980CA" w14:textId="0AE0F335">
      <w:pPr>
        <w:pStyle w:val="Lijstalinea"/>
        <w:numPr>
          <w:ilvl w:val="0"/>
          <w:numId w:val="1"/>
        </w:numPr>
      </w:pPr>
      <w:r>
        <w:t xml:space="preserve">Er is geen consistente samenhang tussen hun eigen interpretatie van de door hen weerhouden artikels enerzijds en de aanbevolen doelgroepen voor vaccinatie anderzijds. </w:t>
      </w:r>
      <w:r w:rsidR="47D294DD">
        <w:t xml:space="preserve">De doelgroepen waarvoor volgens hen geen consistente </w:t>
      </w:r>
      <w:r w:rsidR="665A72D5">
        <w:t xml:space="preserve">evidentie van werkzaamheid is </w:t>
      </w:r>
      <w:r w:rsidR="654A80CB">
        <w:t xml:space="preserve">(bijvoorbeeld mensen met onderliggende risicofactoren) </w:t>
      </w:r>
      <w:r w:rsidR="665A72D5">
        <w:t>wordt door hen even sterk aangeraden als de doelgroepen waarvoor die evidentie er wel zou zijn</w:t>
      </w:r>
      <w:r w:rsidR="289DEEA8">
        <w:t xml:space="preserve"> (bv gezonde ouderen tussen 65 en 80 jaar, al wordt die bovengrens bij de opsomming van de doelgroepen niet meer vermeld)</w:t>
      </w:r>
      <w:r w:rsidR="1E27C528">
        <w:t xml:space="preserve">. </w:t>
      </w:r>
    </w:p>
    <w:p w:rsidR="56DA1F5D" w:rsidP="50F3357F" w:rsidRDefault="56DA1F5D" w14:paraId="4A8F0211" w14:textId="4FF4900E">
      <w:pPr>
        <w:pStyle w:val="Kop1"/>
      </w:pPr>
      <w:r>
        <w:t>Belangenverklaringen</w:t>
      </w:r>
    </w:p>
    <w:p w:rsidR="56DA1F5D" w:rsidP="50F3357F" w:rsidRDefault="56DA1F5D" w14:paraId="4E9E8E8E" w14:textId="1CBC0B5F">
      <w:r>
        <w:t>De Hoge Gezondheidsraad had het de lezer gemakkelijk kunnen maken door de belangenverklaringen van de auteurs rechtstreeks aan de tekst toe te voegen. Nu vroeg het bijkomend opzoekwerk</w:t>
      </w:r>
    </w:p>
    <w:p w:rsidR="09053732" w:rsidP="50F3357F" w:rsidRDefault="09053732" w14:paraId="5F0D05BD" w14:textId="4D8BF5EF">
      <w:r>
        <w:t xml:space="preserve">De voorzitter van de ad hoc werkgroep vaccinaties deed research rond </w:t>
      </w:r>
      <w:proofErr w:type="spellStart"/>
      <w:r w:rsidR="265F523C">
        <w:t>prevenar</w:t>
      </w:r>
      <w:proofErr w:type="spellEnd"/>
      <w:r w:rsidR="265F523C">
        <w:t xml:space="preserve"> 13 voor Pfizer</w:t>
      </w:r>
    </w:p>
    <w:p w:rsidR="076CD04E" w:rsidP="50F3357F" w:rsidRDefault="076CD04E" w14:paraId="6FC1E924" w14:textId="2CA721AD">
      <w:r>
        <w:t>Van de leden van de ad hoc werkgroep waren er vier waarvan geen belangenverklaring werd gevonden en drie die een of meerdere onderzoeksopdrachten hadden uitgevoerd voor farmac</w:t>
      </w:r>
      <w:r w:rsidR="7393085D">
        <w:t>eutische bedrijven</w:t>
      </w:r>
      <w:r w:rsidR="4F9FF69B">
        <w:t xml:space="preserve"> (o</w:t>
      </w:r>
      <w:r w:rsidR="00210EF3">
        <w:t>.</w:t>
      </w:r>
      <w:r w:rsidR="4F9FF69B">
        <w:t>a</w:t>
      </w:r>
      <w:r w:rsidR="00210EF3">
        <w:t>.</w:t>
      </w:r>
      <w:r w:rsidR="4F9FF69B">
        <w:t xml:space="preserve"> andere </w:t>
      </w:r>
      <w:r w:rsidR="23039DDB">
        <w:t>3*</w:t>
      </w:r>
      <w:proofErr w:type="spellStart"/>
      <w:r w:rsidR="4F9FF69B">
        <w:t>pfizer</w:t>
      </w:r>
      <w:proofErr w:type="spellEnd"/>
      <w:r w:rsidR="4F9FF69B">
        <w:t xml:space="preserve"> en </w:t>
      </w:r>
      <w:r w:rsidR="3B7E5B85">
        <w:t>2*</w:t>
      </w:r>
      <w:r w:rsidR="4F9FF69B">
        <w:t>MSD</w:t>
      </w:r>
      <w:r w:rsidR="40A8A533">
        <w:t>)</w:t>
      </w:r>
    </w:p>
    <w:p w:rsidR="7B316C1C" w:rsidP="50F3357F" w:rsidRDefault="7B316C1C" w14:paraId="1C23DC43" w14:textId="7ADE4061">
      <w:r>
        <w:t xml:space="preserve">In de permanente werkgroep vaccinaties geven </w:t>
      </w:r>
      <w:r w:rsidR="51A95328">
        <w:t>14 leden aan steun gehad te hebben van farmaceutische bedrijven, 5 meldden expliciet dat zij geen banden hebben, en van 3</w:t>
      </w:r>
      <w:r w:rsidR="0D3DA747">
        <w:t xml:space="preserve"> </w:t>
      </w:r>
      <w:r w:rsidR="51A95328">
        <w:t>vonden we geen verklaringen</w:t>
      </w:r>
    </w:p>
    <w:p w:rsidR="02D556E6" w:rsidP="50F3357F" w:rsidRDefault="02D556E6" w14:paraId="3893C981" w14:textId="3462ADD5">
      <w:pPr>
        <w:pStyle w:val="Kop1"/>
      </w:pPr>
      <w:r>
        <w:t>Te verwachten effect</w:t>
      </w:r>
    </w:p>
    <w:p w:rsidR="1523D284" w:rsidP="50F3357F" w:rsidRDefault="1523D284" w14:paraId="5C1A324D" w14:textId="0F7D23BC">
      <w:r>
        <w:t xml:space="preserve">Een belangrijk argument van de Hoge Gezondheidsraad pro vaccinatie is de ambitie om het aantal hospitalisaties voor invasieve </w:t>
      </w:r>
      <w:proofErr w:type="spellStart"/>
      <w:r w:rsidR="500ED533">
        <w:t>pneumokkeninfectie</w:t>
      </w:r>
      <w:proofErr w:type="spellEnd"/>
      <w:r w:rsidR="500ED533">
        <w:t xml:space="preserve"> en ernstige pneumonie te doen dalen. En zo meer ziekenhuisbedden beschikbaar te houden voor ernstige gevallen van covid19.</w:t>
      </w:r>
    </w:p>
    <w:p w:rsidR="1067A3E9" w:rsidP="50F3357F" w:rsidRDefault="1067A3E9" w14:paraId="56AE725C" w14:textId="20A403DE">
      <w:r>
        <w:t xml:space="preserve">Het is niet eenvoudig om betrouwbare cijfers vast te krijgen over het aantal hospitalisaties voor dergelijke ernstige infecties. </w:t>
      </w:r>
    </w:p>
    <w:p w:rsidR="115B9CEC" w:rsidP="50F3357F" w:rsidRDefault="115B9CEC" w14:paraId="66A2F8E0" w14:textId="4E45C911">
      <w:r>
        <w:t xml:space="preserve">Op basis van onze eigen berekeningen komen we, in het meest extreem positieve scenario op </w:t>
      </w:r>
      <w:r w:rsidR="5EC1C659">
        <w:t xml:space="preserve">812 hospitalisaties minder bij veralgemeende vaccinatie met het 23-valent vaccin en 524 voor </w:t>
      </w:r>
      <w:r w:rsidR="04437C8F">
        <w:t>het 13</w:t>
      </w:r>
      <w:r w:rsidR="5EC1C659">
        <w:t>-valent.</w:t>
      </w:r>
      <w:r w:rsidR="6A92322C">
        <w:t xml:space="preserve">  </w:t>
      </w:r>
      <w:r w:rsidR="005E5445">
        <w:t xml:space="preserve">Maximaal vermeden aantal </w:t>
      </w:r>
      <w:r w:rsidR="37244B67">
        <w:t>hospitalisaties</w:t>
      </w:r>
      <w:r w:rsidR="005E5445">
        <w:t xml:space="preserve"> is 812</w:t>
      </w:r>
      <w:r w:rsidR="37244B67">
        <w:t xml:space="preserve">, verspreid over het jaar, of gemiddeld </w:t>
      </w:r>
      <w:r w:rsidR="005E5445">
        <w:t>68</w:t>
      </w:r>
      <w:r w:rsidR="37244B67">
        <w:t xml:space="preserve"> per maand</w:t>
      </w:r>
      <w:r w:rsidR="62C714A6">
        <w:t xml:space="preserve">. Er zijn in </w:t>
      </w:r>
      <w:proofErr w:type="spellStart"/>
      <w:r w:rsidR="62C714A6">
        <w:t>Belgie</w:t>
      </w:r>
      <w:proofErr w:type="spellEnd"/>
      <w:r w:rsidR="62C714A6">
        <w:t xml:space="preserve"> in totaal 103 algemene ziekenhuizen </w:t>
      </w:r>
      <w:r w:rsidR="7013F9CD">
        <w:t>met een totaal van 35000</w:t>
      </w:r>
      <w:r w:rsidR="616C5C0E">
        <w:t xml:space="preserve"> acute</w:t>
      </w:r>
      <w:r w:rsidR="7013F9CD">
        <w:t xml:space="preserve"> bedden</w:t>
      </w:r>
      <w:r w:rsidR="39AB1A23">
        <w:t xml:space="preserve">. </w:t>
      </w:r>
    </w:p>
    <w:p w:rsidR="158FBCA4" w:rsidP="50F3357F" w:rsidRDefault="158FBCA4" w14:paraId="575517CE" w14:textId="6351529B">
      <w:r>
        <w:t xml:space="preserve">Dit meest extreme scenario gaat er van uit dat bij alle </w:t>
      </w:r>
      <w:proofErr w:type="spellStart"/>
      <w:r>
        <w:t>gevaccineerden</w:t>
      </w:r>
      <w:proofErr w:type="spellEnd"/>
      <w:r>
        <w:t xml:space="preserve"> er 75% bescherming zou zijn tegen invasieve infectie en ernstig</w:t>
      </w:r>
      <w:r w:rsidR="2FBB9427">
        <w:t xml:space="preserve">e pneumonie. </w:t>
      </w:r>
      <w:r w:rsidR="5A036D0C">
        <w:t xml:space="preserve"> Bij de bespreking van de wetenschappelijke onderbouwing halen we al een aantal argumenten aan waaro</w:t>
      </w:r>
      <w:r w:rsidR="4472DC18">
        <w:t xml:space="preserve">m dit </w:t>
      </w:r>
      <w:r w:rsidR="2F5D7E0C">
        <w:t>hoogstwaarschijnlijk lager zal liggen</w:t>
      </w:r>
      <w:r w:rsidR="0077291E">
        <w:t xml:space="preserve">. </w:t>
      </w:r>
    </w:p>
    <w:p w:rsidR="556863EF" w:rsidP="50F3357F" w:rsidRDefault="556863EF" w14:paraId="42222C2D" w14:textId="3F948C46">
      <w:r>
        <w:t xml:space="preserve">Daarnaast is er ook geen rekening gehouden met de nu toegepaste maatregelen om de verspreiding van het coronavirus af te remmen. </w:t>
      </w:r>
      <w:r w:rsidR="564E89C5">
        <w:t xml:space="preserve">Ook de transmissie van de pneumokok gebeurt </w:t>
      </w:r>
      <w:proofErr w:type="spellStart"/>
      <w:r w:rsidR="564E89C5">
        <w:t>aërogeen</w:t>
      </w:r>
      <w:proofErr w:type="spellEnd"/>
      <w:r w:rsidR="564E89C5">
        <w:t xml:space="preserve"> en via </w:t>
      </w:r>
      <w:r w:rsidR="564E89C5">
        <w:lastRenderedPageBreak/>
        <w:t>directe overdracht. Het valt daarom te verwachten dat het aantal infecties met pneumokokken lager zal liggen dan de vorige jaren</w:t>
      </w:r>
      <w:r w:rsidR="44A1403B">
        <w:t xml:space="preserve">. </w:t>
      </w:r>
    </w:p>
    <w:p w:rsidR="7C6302AD" w:rsidP="50F3357F" w:rsidRDefault="7C6302AD" w14:paraId="6BA0A905" w14:textId="5C180074">
      <w:pPr>
        <w:pStyle w:val="Kop1"/>
      </w:pPr>
      <w:r>
        <w:t>Kostprijs</w:t>
      </w:r>
    </w:p>
    <w:p w:rsidR="32D14E6E" w:rsidP="50F3357F" w:rsidRDefault="32D14E6E" w14:paraId="4EC0273E" w14:textId="0795B4C4">
      <w:r>
        <w:t>Het voorgestelde vaccinatieschema kost 75€+33€</w:t>
      </w:r>
      <w:r w:rsidR="0661ECFB">
        <w:t>, door de burgers zelf te betalen</w:t>
      </w:r>
      <w:r>
        <w:t xml:space="preserve">. </w:t>
      </w:r>
      <w:r w:rsidR="039B22D1">
        <w:t>In 2020 waren er 2.2milj mensen in Belgi</w:t>
      </w:r>
      <w:r w:rsidR="00210EF3">
        <w:t>ë</w:t>
      </w:r>
      <w:r w:rsidR="039B22D1">
        <w:t xml:space="preserve"> ouder dan 65 jaar. </w:t>
      </w:r>
      <w:r w:rsidR="22596B03">
        <w:t xml:space="preserve"> </w:t>
      </w:r>
      <w:r w:rsidR="00210EF3">
        <w:t>D</w:t>
      </w:r>
      <w:r w:rsidR="22596B03">
        <w:t xml:space="preserve">e totale kostprijs voor het uitvoeren van het advies van de Hoge Gezondheidsraad </w:t>
      </w:r>
      <w:r w:rsidR="6EEE7D70">
        <w:t xml:space="preserve">is dan 237.600.000€.  </w:t>
      </w:r>
      <w:r w:rsidR="2FF5B4C8">
        <w:t>Dat</w:t>
      </w:r>
      <w:r w:rsidR="6EEE7D70">
        <w:t xml:space="preserve"> voor het vermijden van maximaal </w:t>
      </w:r>
      <w:r w:rsidR="00210EF3">
        <w:t>812</w:t>
      </w:r>
      <w:r w:rsidR="6EEE7D70">
        <w:t xml:space="preserve"> ziekenhuisopnames</w:t>
      </w:r>
      <w:r w:rsidR="488CF0E0">
        <w:t xml:space="preserve"> of </w:t>
      </w:r>
      <w:r w:rsidR="00210EF3">
        <w:t>292.610</w:t>
      </w:r>
      <w:r w:rsidR="488CF0E0">
        <w:t xml:space="preserve">€ per vermeden hospitalisatie. </w:t>
      </w:r>
      <w:r w:rsidR="00210EF3">
        <w:t>Terwijl</w:t>
      </w:r>
      <w:r w:rsidR="488CF0E0">
        <w:t xml:space="preserve"> dat vertrekkend van de meest positieve veronderstelling over de werkzaamheid van het vaccin.</w:t>
      </w:r>
      <w:r w:rsidR="00C465C0">
        <w:t xml:space="preserve"> </w:t>
      </w:r>
      <w:r w:rsidR="28F408A8">
        <w:t xml:space="preserve"> </w:t>
      </w:r>
      <w:r w:rsidR="00210EF3">
        <w:t>Daarbij</w:t>
      </w:r>
      <w:r w:rsidR="28F408A8">
        <w:t xml:space="preserve"> zonder rekening te houden met een mogelijke daling van het aantal infecties door de anticorona maatregelen</w:t>
      </w:r>
    </w:p>
    <w:p w:rsidR="60BC5E6D" w:rsidP="50F3357F" w:rsidRDefault="60BC5E6D" w14:paraId="1CE04E75" w14:textId="6E2B56F6">
      <w:r w:rsidR="60BC5E6D">
        <w:rPr/>
        <w:t xml:space="preserve">Nog anders bekeken moeten 1647 65plussers gevaccineerd worden om </w:t>
      </w:r>
      <w:r w:rsidR="48E32EF3">
        <w:rPr/>
        <w:t>éé</w:t>
      </w:r>
      <w:r w:rsidR="60BC5E6D">
        <w:rPr/>
        <w:t xml:space="preserve">n ziekenhuisopname te vermijden. </w:t>
      </w:r>
    </w:p>
    <w:p w:rsidR="1922E830" w:rsidP="6A7C68A6" w:rsidRDefault="1922E830" w14:paraId="50B08199" w14:textId="5B6A8900">
      <w:pPr>
        <w:pStyle w:val="Standaard"/>
      </w:pPr>
      <w:r w:rsidR="1922E830">
        <w:rPr/>
        <w:t xml:space="preserve">In het </w:t>
      </w:r>
      <w:proofErr w:type="gramStart"/>
      <w:r w:rsidR="1922E830">
        <w:rPr/>
        <w:t>rapport  274</w:t>
      </w:r>
      <w:proofErr w:type="gramEnd"/>
      <w:r w:rsidR="1922E830">
        <w:rPr/>
        <w:t xml:space="preserve"> van het KCE wordt berekend dat het toepassen van het gecombineerde vaccinatieschema een kostprijs heeft van +/- 133 000€ </w:t>
      </w:r>
      <w:r w:rsidR="345B747B">
        <w:rPr/>
        <w:t xml:space="preserve">per QALY. </w:t>
      </w:r>
    </w:p>
    <w:p w:rsidR="568C1531" w:rsidP="6A7C68A6" w:rsidRDefault="568C1531" w14:paraId="0B9CCF15" w14:textId="3D2E1B24">
      <w:pPr>
        <w:pStyle w:val="Standaard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="568C1531">
        <w:rPr/>
        <w:t xml:space="preserve">Ter vergelijking: screening naar colorectale kanker heeft een kostprijs </w:t>
      </w:r>
      <w:proofErr w:type="gramStart"/>
      <w:r w:rsidR="568C1531">
        <w:rPr/>
        <w:t xml:space="preserve">van  </w:t>
      </w:r>
      <w:r w:rsidRPr="6A7C68A6" w:rsidR="568C1531">
        <w:rPr>
          <w:rFonts w:ascii="Calibri" w:hAnsi="Calibri" w:eastAsia="Calibri" w:cs="Calibri"/>
          <w:noProof w:val="0"/>
          <w:sz w:val="22"/>
          <w:szCs w:val="22"/>
          <w:lang w:val="nl-NL"/>
        </w:rPr>
        <w:t>€</w:t>
      </w:r>
      <w:proofErr w:type="gramEnd"/>
      <w:r w:rsidRPr="6A7C68A6" w:rsidR="568C1531">
        <w:rPr>
          <w:rFonts w:ascii="Calibri" w:hAnsi="Calibri" w:eastAsia="Calibri" w:cs="Calibri"/>
          <w:noProof w:val="0"/>
          <w:sz w:val="22"/>
          <w:szCs w:val="22"/>
          <w:lang w:val="nl-NL"/>
        </w:rPr>
        <w:t>1.912/QALY bij mannen en €3.851/QALY bij vrouwen.</w:t>
      </w:r>
      <w:r w:rsidRPr="6A7C68A6">
        <w:rPr>
          <w:rStyle w:val="Voetnootmarkering"/>
          <w:rFonts w:ascii="Calibri" w:hAnsi="Calibri" w:eastAsia="Calibri" w:cs="Calibri"/>
          <w:noProof w:val="0"/>
          <w:sz w:val="22"/>
          <w:szCs w:val="22"/>
          <w:lang w:val="nl-NL"/>
        </w:rPr>
        <w:footnoteReference w:id="1374"/>
      </w:r>
    </w:p>
    <w:p w:rsidR="732FE4EB" w:rsidP="50F3357F" w:rsidRDefault="732FE4EB" w14:paraId="0179E8A3" w14:textId="41C12281">
      <w:pPr>
        <w:pStyle w:val="Kop1"/>
      </w:pPr>
      <w:r>
        <w:t>Uitvoerbaarheid</w:t>
      </w:r>
    </w:p>
    <w:p w:rsidR="732FE4EB" w:rsidP="50F3357F" w:rsidRDefault="732FE4EB" w14:paraId="7C9E2D4C" w14:textId="770EFE9A">
      <w:r>
        <w:t xml:space="preserve">Bij de totstandkoming was er geen betrokkenheid, noch van de huisartsen, noch van de doelgroepen. </w:t>
      </w:r>
    </w:p>
    <w:p w:rsidR="0B61D357" w:rsidP="50F3357F" w:rsidRDefault="0B61D357" w14:paraId="6C499632" w14:textId="5FB2CC5D">
      <w:r w:rsidR="0B61D357">
        <w:rPr/>
        <w:t>De komende maanden zullen de huisartsen onder een grote werkdruk blijven staan door hun essentiële taken in de aanpak van de coronapandemie</w:t>
      </w:r>
      <w:r w:rsidR="1BFAF0C9">
        <w:rPr/>
        <w:t xml:space="preserve"> en de </w:t>
      </w:r>
      <w:proofErr w:type="spellStart"/>
      <w:r w:rsidR="1BFAF0C9">
        <w:rPr/>
        <w:t>continuiteit</w:t>
      </w:r>
      <w:proofErr w:type="spellEnd"/>
      <w:r w:rsidR="1BFAF0C9">
        <w:rPr/>
        <w:t xml:space="preserve"> van de zorgen voor hun patiënten</w:t>
      </w:r>
    </w:p>
    <w:p w:rsidR="0B61D357" w:rsidP="50F3357F" w:rsidRDefault="0B61D357" w14:paraId="53FB174F" w14:textId="229510E3">
      <w:r>
        <w:t>We willen niet aan de huisartsen vragen om bovenop dit essentiële werk ook nog tijd en energie te steken in het uitvoer</w:t>
      </w:r>
      <w:r w:rsidR="4CD53F51">
        <w:t>en van een zwak onderbouwd advies met een geringe impact en een hoge kostprijs</w:t>
      </w:r>
    </w:p>
    <w:p w:rsidR="50F3357F" w:rsidP="50F3357F" w:rsidRDefault="50F3357F" w14:paraId="22AA0A1E" w14:textId="29CEB4DD"/>
    <w:sectPr w:rsidR="50F3357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10CE" w:rsidRDefault="001510CE" w14:paraId="3E9CA42E" w14:textId="77777777">
      <w:pPr>
        <w:spacing w:after="0" w:line="240" w:lineRule="auto"/>
      </w:pPr>
      <w:r>
        <w:separator/>
      </w:r>
    </w:p>
  </w:endnote>
  <w:endnote w:type="continuationSeparator" w:id="0">
    <w:p w:rsidR="001510CE" w:rsidRDefault="001510CE" w14:paraId="06A19EC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10CE" w:rsidRDefault="001510CE" w14:paraId="56E72CE8" w14:textId="77777777">
      <w:pPr>
        <w:spacing w:after="0" w:line="240" w:lineRule="auto"/>
      </w:pPr>
      <w:r>
        <w:separator/>
      </w:r>
    </w:p>
  </w:footnote>
  <w:footnote w:type="continuationSeparator" w:id="0">
    <w:p w:rsidR="001510CE" w:rsidRDefault="001510CE" w14:paraId="4A5ECB72" w14:textId="77777777">
      <w:pPr>
        <w:spacing w:after="0" w:line="240" w:lineRule="auto"/>
      </w:pPr>
      <w:r>
        <w:continuationSeparator/>
      </w:r>
    </w:p>
  </w:footnote>
  <w:footnote w:id="1">
    <w:p w:rsidR="50F3357F" w:rsidP="50F3357F" w:rsidRDefault="50F3357F" w14:paraId="4EB1614D" w14:textId="75FAC156">
      <w:pPr>
        <w:spacing w:after="0" w:line="240" w:lineRule="auto"/>
        <w:rPr>
          <w:rFonts w:ascii="Calibri" w:hAnsi="Calibri" w:eastAsia="Calibri" w:cs="Calibri"/>
          <w:sz w:val="20"/>
          <w:szCs w:val="20"/>
        </w:rPr>
      </w:pPr>
      <w:r w:rsidRPr="50F3357F">
        <w:rPr>
          <w:rStyle w:val="Voetnootmarkering"/>
        </w:rPr>
        <w:footnoteRef/>
      </w:r>
      <w:r>
        <w:t xml:space="preserve"> </w:t>
      </w:r>
      <w:r w:rsidRPr="50F3357F">
        <w:rPr>
          <w:rFonts w:ascii="Calibri" w:hAnsi="Calibri" w:eastAsia="Calibri" w:cs="Calibri"/>
          <w:sz w:val="20"/>
          <w:szCs w:val="20"/>
          <w:vertAlign w:val="superscript"/>
        </w:rPr>
        <w:t>1</w:t>
      </w:r>
      <w:r w:rsidRPr="50F3357F">
        <w:rPr>
          <w:rFonts w:ascii="Calibri" w:hAnsi="Calibri" w:eastAsia="Calibri" w:cs="Calibri"/>
          <w:sz w:val="20"/>
          <w:szCs w:val="20"/>
        </w:rPr>
        <w:t xml:space="preserve"> https://doi.org/10.1002/14651858.CD001390.pub4</w:t>
      </w:r>
    </w:p>
    <w:p w:rsidR="50F3357F" w:rsidP="50F3357F" w:rsidRDefault="50F3357F" w14:paraId="5A2A8587" w14:textId="014B711B">
      <w:pPr>
        <w:pStyle w:val="Voetnoottekst"/>
      </w:pPr>
    </w:p>
  </w:footnote>
  <w:footnote w:id="1374">
    <w:p w:rsidR="6A7C68A6" w:rsidP="6A7C68A6" w:rsidRDefault="6A7C68A6" w14:paraId="308BC295" w14:textId="6D8A3C9F">
      <w:pPr>
        <w:pStyle w:val="Standaard"/>
        <w:bidi w:val="0"/>
      </w:pPr>
      <w:r w:rsidRPr="6A7C68A6">
        <w:rPr>
          <w:rStyle w:val="Voetnootmarkering"/>
        </w:rPr>
        <w:footnoteRef/>
      </w:r>
      <w:r w:rsidR="6A7C68A6">
        <w:rPr/>
        <w:t xml:space="preserve"> Fobelets, Maaike, Lore Pil, Koen Putman, en Lieven Annemans. ‘De kosteneffectiviteit van het bevolkingsonderzoek naar dikkedarmkanker in Vlaanderen: gezondheidseconomische evaluatie’, z.d., 33.</w:t>
      </w:r>
    </w:p>
    <w:p w:rsidR="6A7C68A6" w:rsidP="6A7C68A6" w:rsidRDefault="6A7C68A6" w14:paraId="6900DB2E" w14:textId="3A311B96">
      <w:pPr>
        <w:pStyle w:val="Voetnoottekst"/>
        <w:bidi w:val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52D11"/>
    <w:multiLevelType w:val="hybridMultilevel"/>
    <w:tmpl w:val="5374EBCC"/>
    <w:lvl w:ilvl="0" w:tplc="A4BC47EE">
      <w:start w:val="1"/>
      <w:numFmt w:val="decimal"/>
      <w:lvlText w:val="%1."/>
      <w:lvlJc w:val="left"/>
      <w:pPr>
        <w:ind w:left="720" w:hanging="360"/>
      </w:pPr>
    </w:lvl>
    <w:lvl w:ilvl="1" w:tplc="F5601D90">
      <w:start w:val="1"/>
      <w:numFmt w:val="lowerLetter"/>
      <w:lvlText w:val="%2."/>
      <w:lvlJc w:val="left"/>
      <w:pPr>
        <w:ind w:left="1440" w:hanging="360"/>
      </w:pPr>
    </w:lvl>
    <w:lvl w:ilvl="2" w:tplc="6C44F854">
      <w:start w:val="1"/>
      <w:numFmt w:val="lowerRoman"/>
      <w:lvlText w:val="%3."/>
      <w:lvlJc w:val="right"/>
      <w:pPr>
        <w:ind w:left="2160" w:hanging="180"/>
      </w:pPr>
    </w:lvl>
    <w:lvl w:ilvl="3" w:tplc="6E88E6D8">
      <w:start w:val="1"/>
      <w:numFmt w:val="decimal"/>
      <w:lvlText w:val="%4."/>
      <w:lvlJc w:val="left"/>
      <w:pPr>
        <w:ind w:left="2880" w:hanging="360"/>
      </w:pPr>
    </w:lvl>
    <w:lvl w:ilvl="4" w:tplc="B11C20AA">
      <w:start w:val="1"/>
      <w:numFmt w:val="lowerLetter"/>
      <w:lvlText w:val="%5."/>
      <w:lvlJc w:val="left"/>
      <w:pPr>
        <w:ind w:left="3600" w:hanging="360"/>
      </w:pPr>
    </w:lvl>
    <w:lvl w:ilvl="5" w:tplc="8C44A092">
      <w:start w:val="1"/>
      <w:numFmt w:val="lowerRoman"/>
      <w:lvlText w:val="%6."/>
      <w:lvlJc w:val="right"/>
      <w:pPr>
        <w:ind w:left="4320" w:hanging="180"/>
      </w:pPr>
    </w:lvl>
    <w:lvl w:ilvl="6" w:tplc="95B4B746">
      <w:start w:val="1"/>
      <w:numFmt w:val="decimal"/>
      <w:lvlText w:val="%7."/>
      <w:lvlJc w:val="left"/>
      <w:pPr>
        <w:ind w:left="5040" w:hanging="360"/>
      </w:pPr>
    </w:lvl>
    <w:lvl w:ilvl="7" w:tplc="666832FC">
      <w:start w:val="1"/>
      <w:numFmt w:val="lowerLetter"/>
      <w:lvlText w:val="%8."/>
      <w:lvlJc w:val="left"/>
      <w:pPr>
        <w:ind w:left="5760" w:hanging="360"/>
      </w:pPr>
    </w:lvl>
    <w:lvl w:ilvl="8" w:tplc="69D6AA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B7156B"/>
    <w:rsid w:val="0011070D"/>
    <w:rsid w:val="001510CE"/>
    <w:rsid w:val="00210EF3"/>
    <w:rsid w:val="005E5445"/>
    <w:rsid w:val="0077291E"/>
    <w:rsid w:val="009B425C"/>
    <w:rsid w:val="009F2959"/>
    <w:rsid w:val="00C465C0"/>
    <w:rsid w:val="00D222F7"/>
    <w:rsid w:val="00DC1D70"/>
    <w:rsid w:val="00F354BA"/>
    <w:rsid w:val="01E4B6F1"/>
    <w:rsid w:val="02A7619F"/>
    <w:rsid w:val="02D556E6"/>
    <w:rsid w:val="02E3FBC9"/>
    <w:rsid w:val="032C8E27"/>
    <w:rsid w:val="034065C0"/>
    <w:rsid w:val="0370A369"/>
    <w:rsid w:val="039B22D1"/>
    <w:rsid w:val="04437C8F"/>
    <w:rsid w:val="04B2A7CE"/>
    <w:rsid w:val="04FCBF24"/>
    <w:rsid w:val="057A3974"/>
    <w:rsid w:val="05B11358"/>
    <w:rsid w:val="06046FC5"/>
    <w:rsid w:val="060CA4D7"/>
    <w:rsid w:val="064CC8ED"/>
    <w:rsid w:val="0661ECFB"/>
    <w:rsid w:val="076CD04E"/>
    <w:rsid w:val="09053732"/>
    <w:rsid w:val="097372BC"/>
    <w:rsid w:val="0AD540E3"/>
    <w:rsid w:val="0AFA498A"/>
    <w:rsid w:val="0B265168"/>
    <w:rsid w:val="0B61D357"/>
    <w:rsid w:val="0CEBD512"/>
    <w:rsid w:val="0D3DA747"/>
    <w:rsid w:val="0F74FCC8"/>
    <w:rsid w:val="10083218"/>
    <w:rsid w:val="1067A3E9"/>
    <w:rsid w:val="10AD048B"/>
    <w:rsid w:val="115B9CEC"/>
    <w:rsid w:val="13B7156B"/>
    <w:rsid w:val="140B80C9"/>
    <w:rsid w:val="14BF9E6E"/>
    <w:rsid w:val="1523D284"/>
    <w:rsid w:val="158FBCA4"/>
    <w:rsid w:val="1619C0F1"/>
    <w:rsid w:val="16504BB9"/>
    <w:rsid w:val="16B0559B"/>
    <w:rsid w:val="17704932"/>
    <w:rsid w:val="182F83D8"/>
    <w:rsid w:val="184EECA0"/>
    <w:rsid w:val="19131FA1"/>
    <w:rsid w:val="1922E830"/>
    <w:rsid w:val="1AB68796"/>
    <w:rsid w:val="1B540BFA"/>
    <w:rsid w:val="1B56924E"/>
    <w:rsid w:val="1BFAF0C9"/>
    <w:rsid w:val="1C581E75"/>
    <w:rsid w:val="1C813251"/>
    <w:rsid w:val="1CFA57D3"/>
    <w:rsid w:val="1E27C528"/>
    <w:rsid w:val="1F7F82F3"/>
    <w:rsid w:val="1F9D9170"/>
    <w:rsid w:val="1FDCA85E"/>
    <w:rsid w:val="21255CA9"/>
    <w:rsid w:val="22596B03"/>
    <w:rsid w:val="22CC3262"/>
    <w:rsid w:val="22EEA37A"/>
    <w:rsid w:val="23039DDB"/>
    <w:rsid w:val="2325B379"/>
    <w:rsid w:val="2394E860"/>
    <w:rsid w:val="23E64734"/>
    <w:rsid w:val="2480BDCD"/>
    <w:rsid w:val="25A1D987"/>
    <w:rsid w:val="25AF3971"/>
    <w:rsid w:val="260B7CC6"/>
    <w:rsid w:val="265F523C"/>
    <w:rsid w:val="286D114B"/>
    <w:rsid w:val="289DEEA8"/>
    <w:rsid w:val="28F408A8"/>
    <w:rsid w:val="29F36067"/>
    <w:rsid w:val="2A5579FB"/>
    <w:rsid w:val="2A698531"/>
    <w:rsid w:val="2BF31A0D"/>
    <w:rsid w:val="2C110759"/>
    <w:rsid w:val="2CBEA617"/>
    <w:rsid w:val="2D29577D"/>
    <w:rsid w:val="2DCA2259"/>
    <w:rsid w:val="2F1B528D"/>
    <w:rsid w:val="2F5D7E0C"/>
    <w:rsid w:val="2FBB9427"/>
    <w:rsid w:val="2FE4EA03"/>
    <w:rsid w:val="2FF5B4C8"/>
    <w:rsid w:val="308C3FBB"/>
    <w:rsid w:val="30DE9219"/>
    <w:rsid w:val="31680AED"/>
    <w:rsid w:val="326CC9A3"/>
    <w:rsid w:val="32D14E6E"/>
    <w:rsid w:val="330AAAF7"/>
    <w:rsid w:val="33B77842"/>
    <w:rsid w:val="345B747B"/>
    <w:rsid w:val="37244B67"/>
    <w:rsid w:val="374BA3BE"/>
    <w:rsid w:val="3846F4FA"/>
    <w:rsid w:val="38B58907"/>
    <w:rsid w:val="39AB1A23"/>
    <w:rsid w:val="3A0BF741"/>
    <w:rsid w:val="3B7E5B85"/>
    <w:rsid w:val="3B7F26CF"/>
    <w:rsid w:val="3CC79904"/>
    <w:rsid w:val="3E048B63"/>
    <w:rsid w:val="3F13E266"/>
    <w:rsid w:val="3F937090"/>
    <w:rsid w:val="3FC6F9D7"/>
    <w:rsid w:val="3FE97B18"/>
    <w:rsid w:val="4084B4E0"/>
    <w:rsid w:val="40A8A533"/>
    <w:rsid w:val="413DB425"/>
    <w:rsid w:val="4175BFE4"/>
    <w:rsid w:val="4207AC5B"/>
    <w:rsid w:val="42322DA0"/>
    <w:rsid w:val="42D1378E"/>
    <w:rsid w:val="43DFE567"/>
    <w:rsid w:val="4472DC18"/>
    <w:rsid w:val="44759DE7"/>
    <w:rsid w:val="44A1403B"/>
    <w:rsid w:val="45455E10"/>
    <w:rsid w:val="47D294DD"/>
    <w:rsid w:val="488CF0E0"/>
    <w:rsid w:val="48E32EF3"/>
    <w:rsid w:val="4928FA77"/>
    <w:rsid w:val="49683C8F"/>
    <w:rsid w:val="4A30CCBD"/>
    <w:rsid w:val="4AEC5F9E"/>
    <w:rsid w:val="4B543231"/>
    <w:rsid w:val="4BCEE8F0"/>
    <w:rsid w:val="4C909570"/>
    <w:rsid w:val="4CA0CCB2"/>
    <w:rsid w:val="4CD53F51"/>
    <w:rsid w:val="4D0C37BC"/>
    <w:rsid w:val="4D2B06FC"/>
    <w:rsid w:val="4EF730EE"/>
    <w:rsid w:val="4F9FF69B"/>
    <w:rsid w:val="4FB009F4"/>
    <w:rsid w:val="4FCEFF60"/>
    <w:rsid w:val="500ED533"/>
    <w:rsid w:val="50F3357F"/>
    <w:rsid w:val="51629C3C"/>
    <w:rsid w:val="51A95328"/>
    <w:rsid w:val="528EDCF7"/>
    <w:rsid w:val="52D4D1B0"/>
    <w:rsid w:val="5404DF56"/>
    <w:rsid w:val="54DE1FA1"/>
    <w:rsid w:val="556863EF"/>
    <w:rsid w:val="55D95A18"/>
    <w:rsid w:val="561A467E"/>
    <w:rsid w:val="564E89C5"/>
    <w:rsid w:val="568C1531"/>
    <w:rsid w:val="56DA1F5D"/>
    <w:rsid w:val="57035FCE"/>
    <w:rsid w:val="58E46E96"/>
    <w:rsid w:val="59372178"/>
    <w:rsid w:val="59D0BC23"/>
    <w:rsid w:val="5A036D0C"/>
    <w:rsid w:val="5B235C1D"/>
    <w:rsid w:val="5BBBA753"/>
    <w:rsid w:val="5C191331"/>
    <w:rsid w:val="5CC47EBB"/>
    <w:rsid w:val="5D654DF4"/>
    <w:rsid w:val="5E589467"/>
    <w:rsid w:val="5E5BBB95"/>
    <w:rsid w:val="5EC1C659"/>
    <w:rsid w:val="5EC93A20"/>
    <w:rsid w:val="5ECD0B98"/>
    <w:rsid w:val="5FAC61EE"/>
    <w:rsid w:val="6001A191"/>
    <w:rsid w:val="60BC5E6D"/>
    <w:rsid w:val="6155E92F"/>
    <w:rsid w:val="616C5C0E"/>
    <w:rsid w:val="61E1D030"/>
    <w:rsid w:val="6295E711"/>
    <w:rsid w:val="62C714A6"/>
    <w:rsid w:val="635BB801"/>
    <w:rsid w:val="654A80CB"/>
    <w:rsid w:val="660CD8F1"/>
    <w:rsid w:val="665A72D5"/>
    <w:rsid w:val="66CB0FC1"/>
    <w:rsid w:val="69E5EA49"/>
    <w:rsid w:val="6A307B76"/>
    <w:rsid w:val="6A3E3718"/>
    <w:rsid w:val="6A49503F"/>
    <w:rsid w:val="6A7C68A6"/>
    <w:rsid w:val="6A92322C"/>
    <w:rsid w:val="6A9CD5A9"/>
    <w:rsid w:val="6AC1F138"/>
    <w:rsid w:val="6AE298CD"/>
    <w:rsid w:val="6B35C659"/>
    <w:rsid w:val="6C920738"/>
    <w:rsid w:val="6EEE7D70"/>
    <w:rsid w:val="6F3C30A5"/>
    <w:rsid w:val="7013F9CD"/>
    <w:rsid w:val="713018C1"/>
    <w:rsid w:val="72165D4F"/>
    <w:rsid w:val="722DC089"/>
    <w:rsid w:val="732FE4EB"/>
    <w:rsid w:val="7393085D"/>
    <w:rsid w:val="74A4B56D"/>
    <w:rsid w:val="7507DB9C"/>
    <w:rsid w:val="75774F0C"/>
    <w:rsid w:val="75D312D6"/>
    <w:rsid w:val="77329884"/>
    <w:rsid w:val="7765BD07"/>
    <w:rsid w:val="77D4DD19"/>
    <w:rsid w:val="7804DC20"/>
    <w:rsid w:val="79EF5B30"/>
    <w:rsid w:val="7A196AD0"/>
    <w:rsid w:val="7A1BAA5F"/>
    <w:rsid w:val="7A5983F2"/>
    <w:rsid w:val="7A6FB2C1"/>
    <w:rsid w:val="7AC9E1F4"/>
    <w:rsid w:val="7ACDC6E1"/>
    <w:rsid w:val="7AFACCAB"/>
    <w:rsid w:val="7B316C1C"/>
    <w:rsid w:val="7C5A4EC8"/>
    <w:rsid w:val="7C6302AD"/>
    <w:rsid w:val="7CB954C6"/>
    <w:rsid w:val="7CE3A863"/>
    <w:rsid w:val="7D1410DE"/>
    <w:rsid w:val="7D3B2593"/>
    <w:rsid w:val="7DA2084A"/>
    <w:rsid w:val="7DF87A33"/>
    <w:rsid w:val="7E83CAAC"/>
    <w:rsid w:val="7F21F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156B"/>
  <w15:chartTrackingRefBased/>
  <w15:docId w15:val="{B2C0F2A4-2E81-4360-AA74-93259371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TitelChar" w:customStyle="1">
    <w:name w:val="Titel Char"/>
    <w:basedOn w:val="Standaardalinea-lettertype"/>
    <w:link w:val="Titel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Kop1Char" w:customStyle="1">
    <w:name w:val="Kop 1 Char"/>
    <w:basedOn w:val="Standaardalinea-lettertype"/>
    <w:link w:val="Kop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Voetnootmarkering">
    <w:name w:val="footnote reference"/>
    <w:basedOn w:val="Standaardalinea-lettertype"/>
    <w:uiPriority w:val="99"/>
    <w:semiHidden/>
    <w:unhideWhenUsed/>
    <w:rPr>
      <w:vertAlign w:val="superscript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5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F35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Frans Govaerts</dc:creator>
  <keywords/>
  <dc:description/>
  <lastModifiedBy>Frans Govaerts</lastModifiedBy>
  <revision>3</revision>
  <dcterms:created xsi:type="dcterms:W3CDTF">2020-10-12T11:20:00.0000000Z</dcterms:created>
  <dcterms:modified xsi:type="dcterms:W3CDTF">2020-10-14T12:50:22.4958057Z</dcterms:modified>
</coreProperties>
</file>